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75" w:lineRule="atLeast"/>
        <w:jc w:val="center"/>
        <w:rPr>
          <w:rFonts w:hint="default" w:ascii="黑体" w:hAnsi="黑体" w:eastAsia="黑体" w:cs="Helvetica"/>
          <w:kern w:val="0"/>
          <w:sz w:val="44"/>
          <w:szCs w:val="44"/>
        </w:rPr>
      </w:pPr>
      <w:r>
        <w:rPr>
          <w:rFonts w:ascii="黑体" w:hAnsi="黑体" w:eastAsia="黑体" w:cs="Helvetica"/>
          <w:kern w:val="0"/>
          <w:sz w:val="44"/>
          <w:szCs w:val="44"/>
        </w:rPr>
        <w:t>全省高校党的建设工作会议召开</w:t>
      </w:r>
      <w:r>
        <w:rPr>
          <w:rFonts w:ascii="黑体" w:hAnsi="黑体" w:eastAsia="黑体" w:cs="Helvetica"/>
          <w:kern w:val="0"/>
          <w:sz w:val="44"/>
          <w:szCs w:val="44"/>
        </w:rPr>
        <w:br w:type="textWrapping"/>
      </w:r>
      <w:bookmarkStart w:id="0" w:name="_GoBack"/>
      <w:r>
        <w:rPr>
          <w:rFonts w:ascii="黑体" w:hAnsi="黑体" w:eastAsia="黑体" w:cs="Helvetica"/>
          <w:kern w:val="0"/>
          <w:sz w:val="44"/>
          <w:szCs w:val="44"/>
        </w:rPr>
        <w:t>强化党建引领 推动高校高质量发展</w:t>
      </w:r>
      <w:bookmarkEnd w:id="0"/>
    </w:p>
    <w:p>
      <w:pPr>
        <w:widowControl/>
        <w:spacing w:line="560" w:lineRule="exact"/>
        <w:jc w:val="center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2021年</w:t>
      </w:r>
      <w:r>
        <w:rPr>
          <w:rFonts w:hint="eastAsia" w:ascii="仿宋_GB2312" w:eastAsia="仿宋_GB2312"/>
          <w:bCs/>
          <w:kern w:val="0"/>
          <w:sz w:val="32"/>
          <w:szCs w:val="32"/>
        </w:rPr>
        <w:t>9</w:t>
      </w:r>
      <w:r>
        <w:rPr>
          <w:rFonts w:ascii="仿宋_GB2312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kern w:val="0"/>
          <w:sz w:val="32"/>
          <w:szCs w:val="32"/>
        </w:rPr>
        <w:t>17</w:t>
      </w:r>
      <w:r>
        <w:rPr>
          <w:rFonts w:ascii="仿宋_GB2312" w:eastAsia="仿宋_GB2312"/>
          <w:bCs/>
          <w:kern w:val="0"/>
          <w:sz w:val="32"/>
          <w:szCs w:val="32"/>
        </w:rPr>
        <w:t xml:space="preserve">日 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/>
          <w:bCs/>
          <w:kern w:val="0"/>
          <w:sz w:val="32"/>
          <w:szCs w:val="32"/>
        </w:rPr>
        <w:t>来源：</w:t>
      </w:r>
      <w:r>
        <w:rPr>
          <w:rFonts w:hint="eastAsia" w:ascii="仿宋_GB2312" w:eastAsia="仿宋_GB2312"/>
          <w:bCs/>
          <w:kern w:val="0"/>
          <w:sz w:val="32"/>
          <w:szCs w:val="32"/>
        </w:rPr>
        <w:t>四川省教育厅网站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9月17日，全省高校党的建设工作会议在成都召开。会议坚持以习近平新时代中国特色社会主义思想为指导，深入学习贯彻习近平总书记关于加强高校党建工作的重要论述，全面落实第27次全国高校党的建设工作会议精神，研究部署推进全省高校党的建设工作。省委常委、宣传部部长、省委教育工作领导小组组长甘霖出席会议并讲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会议指出，2019年以来，全省各地各部门和各高校认真贯彻党中央和省委部署要求，积极履职尽责、主动担当作为，推动高校党建工作取得新进展、新成效。做好当前和今后一个时期高校党建工作，要全面准确把握面临的新形势新任务新要求，把党建工作各项要求切实落实到高校教学、科研、管理全过程和各方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会议强调，要进一步健全高校党建工作体系，牢牢把握中国特色社会主义最本质的特征是中国共产党的领导，落实党委领导下的校长负责制，增强院系党组织的政治功能，发挥师生党支部的战斗堡垒作用，提升高校党建工作整体合力。要推动高校党建与事业发展深度融合，以党建确保社会主义办学方向，以党建引领高质量发展，以党建提升服务经济社会发展能力，把党建工作与事业发展同谋划、同部署、同推进、同考核。要全面加强高校党风廉政建设，坚定不移推进全面从严治党，压紧压实工作责任，加强重点领域整治，切实加强作风建设，巩固发展风清气正的校园政治生态。要坚决维护高校和谐稳定，突出抓好疫情防控，始终绷紧安全这根弦，做好全流程、全时段风险防控，确保万无一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会上，省委组织部副部长、省委“两新”工委书记、省委党建办主任易林传达了第27次全国高校党的建设工作会议精神。电子科技大学、成都理工大学、四川师范大学、四川文理学院、四川工程职业技术学院、绵阳城市学院等6所高校作交流发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会议由省委教育工委书记李建勤主持。教育厅党组书记、厅长邹瑾；省委宣传部副部长、省新闻出版局（省版权局）局长周青；省委“两新”工委专职副书记尹显耀；省委教育工委、教育厅班子成员，省直有关部门负责同志；全省高校党委书记、校长（院长）；市（州）党委组织部、宣传部、教育工委相关负责同志参加会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311A4"/>
    <w:rsid w:val="7E9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2021-10-19T01:04:00Z</dcterms:created>
  <dc:creator>秦杨梅</dc:creator>
  <cp:lastModifiedBy>秦杨梅</cp:lastModifiedBy>
  <dcterms:modified xsi:type="dcterms:W3CDTF">2021-10-19T01:04:34Z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4AEE547B95134E6AB2431604C33BB892</vt:lpwstr>
  </property>
</Properties>
</file>