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center"/>
        <w:textAlignment w:val="auto"/>
        <w:rPr>
          <w:rFonts w:hint="eastAsia" w:asciiTheme="majorEastAsia" w:hAnsiTheme="majorEastAsia" w:eastAsiaTheme="majorEastAsia" w:cstheme="majorEastAsia"/>
          <w:b/>
          <w:bCs/>
          <w:i w:val="0"/>
          <w:iCs w:val="0"/>
          <w:caps w:val="0"/>
          <w:color w:val="262626"/>
          <w:spacing w:val="0"/>
          <w:sz w:val="32"/>
          <w:szCs w:val="32"/>
        </w:rPr>
      </w:pPr>
      <w:r>
        <w:rPr>
          <w:rStyle w:val="5"/>
          <w:rFonts w:hint="eastAsia" w:asciiTheme="majorEastAsia" w:hAnsiTheme="majorEastAsia" w:eastAsiaTheme="majorEastAsia" w:cstheme="majorEastAsia"/>
          <w:b/>
          <w:bCs/>
          <w:i w:val="0"/>
          <w:iCs w:val="0"/>
          <w:caps w:val="0"/>
          <w:color w:val="262626"/>
          <w:spacing w:val="0"/>
          <w:sz w:val="32"/>
          <w:szCs w:val="32"/>
          <w:bdr w:val="none" w:color="auto" w:sz="0" w:space="0"/>
        </w:rPr>
        <w:t>中国共产党普通高等学校基层组织工作条例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right="0"/>
        <w:jc w:val="center"/>
        <w:textAlignment w:val="auto"/>
        <w:rPr>
          <w:rFonts w:hint="eastAsia" w:asciiTheme="minorEastAsia" w:hAnsiTheme="minorEastAsia" w:eastAsiaTheme="minorEastAsia" w:cstheme="minorEastAsia"/>
          <w:i w:val="0"/>
          <w:iCs w:val="0"/>
          <w:caps w:val="0"/>
          <w:color w:val="262626"/>
          <w:spacing w:val="0"/>
          <w:sz w:val="22"/>
          <w:szCs w:val="22"/>
        </w:rPr>
      </w:pPr>
      <w:r>
        <w:rPr>
          <w:rFonts w:hint="eastAsia" w:asciiTheme="minorEastAsia" w:hAnsiTheme="minorEastAsia" w:eastAsiaTheme="minorEastAsia" w:cstheme="minorEastAsia"/>
          <w:i w:val="0"/>
          <w:iCs w:val="0"/>
          <w:caps w:val="0"/>
          <w:color w:val="262626"/>
          <w:spacing w:val="0"/>
          <w:sz w:val="22"/>
          <w:szCs w:val="22"/>
          <w:bdr w:val="none" w:color="auto" w:sz="0" w:space="0"/>
        </w:rPr>
        <w:t>（2009年11月5日中共中央政治局常委会会议审议批准 2010年8月13日中共中央发布 2021年2月26日中共中央政治局会议修订 2021年4月16日中共中央发布）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第四条 高校党组织工作应当遵循以下原则：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（一）坚持党管办学方向、党管干部、党管人才、党管意识形态，领导改革发展，把党的领导落实到高校办学治校全过程各方面，确保党的教育方针和党中央决策部署得到贯彻落实；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（二）坚持全面从严治党，以党的政治建设为统领，把政治标准和政治要求贯穿党的思想建设、组织建设、作风建设、纪律建设以及制度建设、反腐败斗争始终；</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（四）坚持把思想政治工作作为开展高校党的建设的重要抓手，把立德树人成效作为检验高校党的建设工作的根本标准；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（五）坚持抓基层强基础，健全高校党的组织体系、制度体系和工作机制，全面增强高校基层党组织生机活力。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第五条 高校党委由党员大会或者党员代表大会选举产生，每届任期5年。党委对党员大会或者党员代表大会负责并报告工作。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党员代表大会代表实行任期制。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第三章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第十条 高校党委承担管党治党、办学治校主体责任，把方向、管大局、作决策、抓班子、带队伍、保落实。主要职责是：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（三）审议确定学校基本管理制度，讨论决定学校改革发展稳定以及教学、科研、行政管理中的重大事项。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（四）讨论决定学校内部组织机构的设置及其负责人的人选。按照干部管理权限，负责干部的教育、培训、选拔、考核和监督。加强领导班子建设、干部队伍建设和人才队伍建设。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（五）按照党要管党、全面从严治党要求，加强学校党组织建设。落实基层党建工作责任制，发挥学校基层党组织战斗堡垒作用和党员先锋模范作用。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（六）履行学校党风廉政建设主体责任，领导、支持内设纪检组织履行监督执纪问责职责，接受同级纪检组织和上级纪委监委及其派驻纪检监察机构的监督。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（七）领导学校思想政治工作和德育工作，落实意识形态工作责任制，维护学校安全稳定，促进和谐校园建设。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（八）领导学校群团组织、学术组织和教职工代表大会。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（一）宣传和执行党的路线方针政策以及上级党组织的决议，并为其贯彻落实发挥保证监督作用。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（三）加强党组织自身建设，建立健全党支部书记工作例会等制度，具体指导党支部开展工作。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（四）领导本单位思想政治工作，加强师德师风建设，落实意识形态工作责任制。把好教师引进、课程建设、教材选用、学术活动等重要工作的政治关。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（五）做好本单位党员、干部的教育管理工作，做好人才的教育引导和联系服务工作。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（六）领导本单位群团组织、学术组织和教职工代表大会。做好统一战线工作。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第十二条 教职工党支部围绕本单位改革发展稳定等开展工作，落实立德树人根本任务，发挥教育管理监督党员和组织宣传凝聚服务师生员工的作用。主要职责是：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（一）宣传和执行党的路线方针政策以及上级党组织的决议，团结师生员工，在完成教学科研管理任务中发挥党员先锋模范作用；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（二）参与本单位重大问题决策，支持本单位行政负责人开展工作，对教职工职称评定、岗位（职员等级）晋升、考核评价等进行政治把关；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（三）做好党员教育、管理、监督和服务工作，定期召开组织生活会，开展批评和自我批评；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（四）培养教育入党积极分子，做好发展党员工作；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（五）加强师德师风建设，有针对性地做好思想政治工作；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（六）密切联系群众，经常听取师生员工意见和诉求，维护他们的正当权利和利益。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第十三条 学生党支部应当加强思想政治引领，筑牢学生理想信念根基，引导学生刻苦学习、全面发展、健康成长。主要职责是：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（一）宣传和执行党的路线方针政策以及上级党组织的决议。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（二）加强对学生党员的教育、管理、监督和服务，定期召开组织生活会，开展批评和自我批评。发挥学生党员先锋模范作用，影响、带动广大学生明确学习目的，完成学习任务。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（三）组织学生党员参与学生事务管理，维护学校稳定。支持、指导和帮助团支部、班委会以及学生社团根据学生特点开展工作，充分发挥保留团籍的学生党员的带动作用。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（四）培养教育学生中的入党积极分子，按照标准和程序发展学生党员。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（五）根据学生特点，有针对性地做好思想政治教育工作。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第四章 党的纪律检查工作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实行向高校派驻纪检监察机构的，派驻纪检监察机构根据授权履行纪检、监察职责，代表上级纪委监委对高校党委进行监督。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第十五条 高校纪委设立专门工作机构，配备必要的工作人员。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高校党委视具体情况在院（系）级单位党委设立纪委或者纪律检查委员。党的总支部委员会和支部委员会设纪律检查委员。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第十六条 高校纪委是高校党内监督专责机关，履行监督执纪问责职责。主要任务是：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（一）维护党章和其他党内法规，检查党的路线方针政策和决议的执行情况，协助高校党委推进全面从严治党、加强党风建设和组织协调反腐败工作。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（二）经常对党员进行遵守纪律的教育，作出关于维护党纪的决定。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（三）对党的组织和党员领导干部履行职责、行使权力进行监督，受理处置党员群众检举举报，开展谈话提醒、约谈函询。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（四）检查和处理党的组织和党员违反党章和其他党内法规的比较重要或者复杂的案件，决定或者取消对这些案件中的党员的处分；进行问责或者提出责任追究的建议。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（五）受理党员的控告和申诉，保障党员权利不受侵犯。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高校纪委应当严格按照职责权限和工作程序处理违犯党纪的线索和案件，把处理特别重要或者复杂案件中的问题和处理结果，向同级党委和上级纪委报告。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第五章 党员队伍建设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第二十条 尊重党员主体地位，发扬党内民主，保障党员权利，推进党务公开。高校党组织讨论决定重要事项前，应当充分听取党员的意见，党内重要情况及时向党员通报。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第二十二条 高校党委应当设立党校。党校的主要任务是培训党员、干部和入党积极分子。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第六章 干部和人才工作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对院（系）级单位行政领导班子的配备及其成员的选拔，本单位党组织可以向学校党委提出建议，并协助学校党委组织部门进行考察。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第七章 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第八章 对群团组织的领导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第三十二条 高校党委领导教职工代表大会，支持教职工代表大会正确行使职权，在参与学校民主管理和民主监督、维护教职工合法权益等方面发挥积极作用。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第九章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高校党委根据工作需要，本着精干高效和有利于加强党建工作的原则，设立办公室、组织部、宣传部、统战部和教师工作、学生工作、保卫工作部门等机构。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Style w:val="5"/>
          <w:rFonts w:hint="eastAsia" w:asciiTheme="minorEastAsia" w:hAnsiTheme="minorEastAsia" w:eastAsiaTheme="minorEastAsia" w:cstheme="minorEastAsia"/>
          <w:b/>
          <w:bCs/>
          <w:i w:val="0"/>
          <w:iCs w:val="0"/>
          <w:caps w:val="0"/>
          <w:color w:val="262626"/>
          <w:spacing w:val="0"/>
          <w:sz w:val="24"/>
          <w:szCs w:val="24"/>
          <w:bdr w:val="none" w:color="auto" w:sz="0" w:space="0"/>
        </w:rPr>
        <w:t>第十章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第三十七条 本条例适用于国家举办的普通高等学校。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军队系统院校党组织的工作，按照中共中央、中央军事委员会有关规定执行。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第三十八条 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rPr>
        <w:t>第三十九条 本条例自发布之日起施行。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74438"/>
    <w:rsid w:val="6EF4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2021-05-06T03:12:15Z</dcterms:created>
  <dc:creator>Lenovo</dc:creator>
  <cp:lastModifiedBy>花开花谢终有时</cp:lastModifiedBy>
  <dcterms:modified xsi:type="dcterms:W3CDTF">2021-05-06T03:20:15Z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C65D41466A0D49D6971A8C887CECE9DF</vt:lpwstr>
  </property>
</Properties>
</file>