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jc w:val="center"/>
        <w:rPr>
          <w:rFonts w:hint="eastAsia" w:ascii="黑体" w:hAnsi="黑体" w:eastAsia="黑体" w:cstheme="minorBidi"/>
          <w:b/>
          <w:bCs/>
          <w:color w:val="000000"/>
          <w:sz w:val="40"/>
          <w:szCs w:val="21"/>
        </w:rPr>
      </w:pPr>
      <w:r>
        <w:rPr>
          <w:rFonts w:hint="eastAsia" w:ascii="黑体" w:hAnsi="黑体" w:eastAsia="黑体" w:cstheme="minorBidi"/>
          <w:b/>
          <w:bCs/>
          <w:color w:val="000000"/>
          <w:sz w:val="40"/>
          <w:szCs w:val="21"/>
        </w:rPr>
        <w:t xml:space="preserve">习近平在党史学习教育动员大会上强调 </w:t>
      </w:r>
    </w:p>
    <w:p>
      <w:pPr>
        <w:widowControl/>
        <w:spacing w:beforeLines="0" w:afterLines="0"/>
        <w:jc w:val="center"/>
        <w:rPr>
          <w:rFonts w:hint="eastAsia" w:ascii="黑体" w:hAnsi="黑体" w:eastAsia="黑体" w:cstheme="minorBidi"/>
          <w:b/>
          <w:bCs/>
          <w:color w:val="000000"/>
          <w:sz w:val="40"/>
          <w:szCs w:val="21"/>
        </w:rPr>
      </w:pPr>
      <w:r>
        <w:rPr>
          <w:rFonts w:hint="eastAsia" w:ascii="黑体" w:hAnsi="黑体" w:eastAsia="黑体" w:cstheme="minorBidi"/>
          <w:b/>
          <w:bCs/>
          <w:color w:val="000000"/>
          <w:sz w:val="40"/>
          <w:szCs w:val="21"/>
        </w:rPr>
        <w:t>学党史悟思想办实事开新局 以优异成绩</w:t>
      </w:r>
    </w:p>
    <w:p>
      <w:pPr>
        <w:widowControl/>
        <w:spacing w:beforeLines="0" w:afterLines="0"/>
        <w:jc w:val="center"/>
        <w:rPr>
          <w:rFonts w:hint="eastAsia" w:ascii="黑体" w:hAnsi="黑体" w:eastAsia="黑体" w:cstheme="minorBidi"/>
          <w:b/>
          <w:bCs/>
          <w:color w:val="000000"/>
          <w:sz w:val="40"/>
          <w:szCs w:val="21"/>
        </w:rPr>
      </w:pPr>
      <w:r>
        <w:rPr>
          <w:rFonts w:hint="eastAsia" w:ascii="黑体" w:hAnsi="黑体" w:eastAsia="黑体" w:cstheme="minorBidi"/>
          <w:b/>
          <w:bCs/>
          <w:color w:val="000000"/>
          <w:sz w:val="40"/>
          <w:szCs w:val="21"/>
        </w:rPr>
        <w:t>迎接建党一百周年</w:t>
      </w:r>
    </w:p>
    <w:p>
      <w:pPr>
        <w:widowControl/>
        <w:spacing w:line="500" w:lineRule="exact"/>
        <w:jc w:val="center"/>
        <w:rPr>
          <w:rFonts w:ascii="仿宋_GB2312" w:hAnsi="Helvetica" w:eastAsia="仿宋_GB2312" w:cs="Helvetica"/>
          <w:bCs/>
          <w:color w:val="000000"/>
          <w:kern w:val="0"/>
          <w:sz w:val="32"/>
          <w:szCs w:val="32"/>
        </w:rPr>
      </w:pPr>
      <w:r>
        <w:rPr>
          <w:rFonts w:hint="eastAsia" w:ascii="仿宋_GB2312" w:hAnsi="Helvetica" w:eastAsia="仿宋_GB2312" w:cs="Helvetica"/>
          <w:bCs/>
          <w:color w:val="000000"/>
          <w:kern w:val="0"/>
          <w:sz w:val="32"/>
          <w:szCs w:val="32"/>
        </w:rPr>
        <w:t>2021年2月20日 来源： 新华网</w:t>
      </w:r>
    </w:p>
    <w:p>
      <w:pPr>
        <w:widowControl/>
        <w:spacing w:line="500" w:lineRule="exact"/>
        <w:jc w:val="center"/>
        <w:rPr>
          <w:rFonts w:ascii="仿宋_GB2312" w:hAnsi="Helvetica" w:eastAsia="仿宋_GB2312" w:cs="Helvetica"/>
          <w:bCs/>
          <w:color w:val="000000"/>
          <w:kern w:val="0"/>
          <w:sz w:val="32"/>
          <w:szCs w:val="32"/>
        </w:rPr>
      </w:pPr>
    </w:p>
    <w:p>
      <w:pPr>
        <w:widowControl/>
        <w:spacing w:line="500" w:lineRule="exact"/>
        <w:ind w:firstLine="640" w:firstLineChars="200"/>
        <w:jc w:val="left"/>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新华社北京2月20日电  党史学习教育动员大会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widowControl/>
        <w:spacing w:line="500" w:lineRule="exact"/>
        <w:ind w:firstLine="640" w:firstLineChars="200"/>
        <w:jc w:val="left"/>
        <w:rPr>
          <w:rFonts w:ascii="仿宋_GB2312" w:hAnsi="Helvetica" w:eastAsia="仿宋_GB2312" w:cs="Helvetica"/>
          <w:color w:val="000000"/>
          <w:kern w:val="0"/>
          <w:sz w:val="32"/>
          <w:szCs w:val="32"/>
        </w:rPr>
      </w:pPr>
      <w:r>
        <w:rPr>
          <w:rFonts w:ascii="仿宋_GB2312" w:hAnsi="Helvetica" w:eastAsia="仿宋_GB2312" w:cs="Helvetica"/>
          <w:color w:val="000000"/>
          <w:kern w:val="0"/>
          <w:sz w:val="32"/>
          <w:szCs w:val="32"/>
        </w:rPr>
        <w:t>中共中央政治</w:t>
      </w:r>
      <w:bookmarkStart w:id="0" w:name="_GoBack"/>
      <w:bookmarkEnd w:id="0"/>
      <w:r>
        <w:rPr>
          <w:rFonts w:ascii="仿宋_GB2312" w:hAnsi="Helvetica" w:eastAsia="仿宋_GB2312" w:cs="Helvetica"/>
          <w:color w:val="000000"/>
          <w:kern w:val="0"/>
          <w:sz w:val="32"/>
          <w:szCs w:val="32"/>
        </w:rPr>
        <w:t>局常委李克强、栗战书、汪洋、赵乐际、韩正，国家副主席王岐山出席会议，中共中央政治局常委王沪宁主持会议。</w:t>
      </w:r>
    </w:p>
    <w:p>
      <w:pPr>
        <w:widowControl/>
        <w:spacing w:line="500" w:lineRule="exact"/>
        <w:ind w:firstLine="640" w:firstLineChars="200"/>
        <w:jc w:val="left"/>
        <w:rPr>
          <w:rFonts w:ascii="仿宋_GB2312" w:hAnsi="Helvetica" w:eastAsia="仿宋_GB2312" w:cs="Helvetica"/>
          <w:color w:val="000000"/>
          <w:kern w:val="0"/>
          <w:sz w:val="32"/>
          <w:szCs w:val="32"/>
        </w:rPr>
      </w:pPr>
      <w:r>
        <w:rPr>
          <w:rFonts w:ascii="仿宋_GB2312" w:hAnsi="Helvetica" w:eastAsia="仿宋_GB2312" w:cs="Helvetica"/>
          <w:color w:val="000000"/>
          <w:kern w:val="0"/>
          <w:sz w:val="32"/>
          <w:szCs w:val="32"/>
        </w:rPr>
        <w:t>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widowControl/>
        <w:spacing w:line="500" w:lineRule="exact"/>
        <w:ind w:firstLine="640" w:firstLineChars="200"/>
        <w:jc w:val="left"/>
        <w:rPr>
          <w:rFonts w:ascii="仿宋_GB2312" w:hAnsi="Helvetica" w:eastAsia="仿宋_GB2312" w:cs="Helvetica"/>
          <w:color w:val="000000"/>
          <w:kern w:val="0"/>
          <w:sz w:val="32"/>
          <w:szCs w:val="32"/>
        </w:rPr>
      </w:pPr>
      <w:r>
        <w:rPr>
          <w:rFonts w:ascii="仿宋_GB2312" w:hAnsi="Helvetica" w:eastAsia="仿宋_GB2312" w:cs="Helvetica"/>
          <w:color w:val="000000"/>
          <w:kern w:val="0"/>
          <w:sz w:val="32"/>
          <w:szCs w:val="32"/>
        </w:rPr>
        <w:t>习近平指出，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pPr>
        <w:widowControl/>
        <w:spacing w:line="500" w:lineRule="exact"/>
        <w:ind w:firstLine="640" w:firstLineChars="200"/>
        <w:jc w:val="left"/>
        <w:rPr>
          <w:rFonts w:ascii="仿宋_GB2312" w:hAnsi="Helvetica" w:eastAsia="仿宋_GB2312" w:cs="Helvetica"/>
          <w:color w:val="000000"/>
          <w:kern w:val="0"/>
          <w:sz w:val="32"/>
          <w:szCs w:val="32"/>
        </w:rPr>
      </w:pPr>
      <w:r>
        <w:rPr>
          <w:rFonts w:ascii="仿宋_GB2312" w:hAnsi="Helvetica" w:eastAsia="仿宋_GB2312" w:cs="Helvetica"/>
          <w:color w:val="000000"/>
          <w:kern w:val="0"/>
          <w:sz w:val="32"/>
          <w:szCs w:val="32"/>
        </w:rPr>
        <w:t>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widowControl/>
        <w:spacing w:line="500" w:lineRule="exact"/>
        <w:ind w:firstLine="640" w:firstLineChars="200"/>
        <w:jc w:val="left"/>
        <w:rPr>
          <w:rFonts w:ascii="仿宋_GB2312" w:hAnsi="Helvetica" w:eastAsia="仿宋_GB2312" w:cs="Helvetica"/>
          <w:color w:val="000000"/>
          <w:kern w:val="0"/>
          <w:sz w:val="32"/>
          <w:szCs w:val="32"/>
        </w:rPr>
      </w:pPr>
      <w:r>
        <w:rPr>
          <w:rFonts w:ascii="仿宋_GB2312" w:hAnsi="Helvetica" w:eastAsia="仿宋_GB2312" w:cs="Helvetica"/>
          <w:color w:val="000000"/>
          <w:kern w:val="0"/>
          <w:sz w:val="32"/>
          <w:szCs w:val="32"/>
        </w:rPr>
        <w:t>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widowControl/>
        <w:spacing w:line="500" w:lineRule="exact"/>
        <w:ind w:firstLine="640" w:firstLineChars="200"/>
        <w:jc w:val="left"/>
        <w:rPr>
          <w:rFonts w:ascii="仿宋_GB2312" w:hAnsi="Helvetica" w:eastAsia="仿宋_GB2312" w:cs="Helvetica"/>
          <w:color w:val="000000"/>
          <w:kern w:val="0"/>
          <w:sz w:val="32"/>
          <w:szCs w:val="32"/>
        </w:rPr>
      </w:pPr>
      <w:r>
        <w:rPr>
          <w:rFonts w:ascii="仿宋_GB2312" w:hAnsi="Helvetica" w:eastAsia="仿宋_GB2312" w:cs="Helvetica"/>
          <w:color w:val="000000"/>
          <w:kern w:val="0"/>
          <w:sz w:val="32"/>
          <w:szCs w:val="32"/>
        </w:rPr>
        <w:t>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widowControl/>
        <w:spacing w:line="500" w:lineRule="exact"/>
        <w:ind w:firstLine="640" w:firstLineChars="200"/>
        <w:jc w:val="left"/>
        <w:rPr>
          <w:rFonts w:ascii="仿宋_GB2312" w:hAnsi="Helvetica" w:eastAsia="仿宋_GB2312" w:cs="Helvetica"/>
          <w:color w:val="000000"/>
          <w:kern w:val="0"/>
          <w:sz w:val="32"/>
          <w:szCs w:val="32"/>
        </w:rPr>
      </w:pPr>
      <w:r>
        <w:rPr>
          <w:rFonts w:ascii="仿宋_GB2312" w:hAnsi="Helvetica" w:eastAsia="仿宋_GB2312" w:cs="Helvetica"/>
          <w:color w:val="000000"/>
          <w:kern w:val="0"/>
          <w:sz w:val="32"/>
          <w:szCs w:val="32"/>
        </w:rPr>
        <w:t>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widowControl/>
        <w:spacing w:line="500" w:lineRule="exact"/>
        <w:ind w:firstLine="640" w:firstLineChars="200"/>
        <w:jc w:val="left"/>
        <w:rPr>
          <w:rFonts w:ascii="仿宋_GB2312" w:hAnsi="Helvetica" w:eastAsia="仿宋_GB2312" w:cs="Helvetica"/>
          <w:color w:val="000000"/>
          <w:kern w:val="0"/>
          <w:sz w:val="32"/>
          <w:szCs w:val="32"/>
        </w:rPr>
      </w:pPr>
      <w:r>
        <w:rPr>
          <w:rFonts w:ascii="仿宋_GB2312" w:hAnsi="Helvetica" w:eastAsia="仿宋_GB2312" w:cs="Helvetica"/>
          <w:color w:val="000000"/>
          <w:kern w:val="0"/>
          <w:sz w:val="32"/>
          <w:szCs w:val="32"/>
        </w:rPr>
        <w:t>习近平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widowControl/>
        <w:spacing w:line="500" w:lineRule="exact"/>
        <w:ind w:firstLine="640" w:firstLineChars="200"/>
        <w:jc w:val="left"/>
        <w:rPr>
          <w:rFonts w:ascii="仿宋_GB2312" w:hAnsi="Helvetica" w:eastAsia="仿宋_GB2312" w:cs="Helvetica"/>
          <w:color w:val="000000"/>
          <w:kern w:val="0"/>
          <w:sz w:val="32"/>
          <w:szCs w:val="32"/>
        </w:rPr>
      </w:pPr>
      <w:r>
        <w:rPr>
          <w:rFonts w:ascii="仿宋_GB2312" w:hAnsi="Helvetica" w:eastAsia="仿宋_GB2312" w:cs="Helvetica"/>
          <w:color w:val="000000"/>
          <w:kern w:val="0"/>
          <w:sz w:val="32"/>
          <w:szCs w:val="32"/>
        </w:rPr>
        <w:t>习近平强调，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widowControl/>
        <w:spacing w:line="500" w:lineRule="exact"/>
        <w:ind w:firstLine="640" w:firstLineChars="200"/>
        <w:jc w:val="left"/>
        <w:rPr>
          <w:rFonts w:ascii="仿宋_GB2312" w:hAnsi="Helvetica" w:eastAsia="仿宋_GB2312" w:cs="Helvetica"/>
          <w:color w:val="000000"/>
          <w:kern w:val="0"/>
          <w:sz w:val="32"/>
          <w:szCs w:val="32"/>
        </w:rPr>
      </w:pPr>
      <w:r>
        <w:rPr>
          <w:rFonts w:ascii="仿宋_GB2312" w:hAnsi="Helvetica" w:eastAsia="仿宋_GB2312" w:cs="Helvetica"/>
          <w:color w:val="000000"/>
          <w:kern w:val="0"/>
          <w:sz w:val="32"/>
          <w:szCs w:val="32"/>
        </w:rPr>
        <w:t>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观照现实、推动工作结合起来，同解决实际问题结合起来，开展好“我为群众办实事”实践活动，把学习成效转化为工作动力和成效，防止学习和工作“两张皮”。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widowControl/>
        <w:spacing w:line="500" w:lineRule="exact"/>
        <w:ind w:firstLine="640" w:firstLineChars="200"/>
        <w:jc w:val="left"/>
        <w:rPr>
          <w:rFonts w:ascii="仿宋_GB2312" w:hAnsi="Helvetica" w:eastAsia="仿宋_GB2312" w:cs="Helvetica"/>
          <w:color w:val="000000"/>
          <w:kern w:val="0"/>
          <w:sz w:val="32"/>
          <w:szCs w:val="32"/>
        </w:rPr>
      </w:pPr>
      <w:r>
        <w:rPr>
          <w:rFonts w:ascii="仿宋_GB2312" w:hAnsi="Helvetica" w:eastAsia="仿宋_GB2312" w:cs="Helvetica"/>
          <w:color w:val="000000"/>
          <w:kern w:val="0"/>
          <w:sz w:val="32"/>
          <w:szCs w:val="32"/>
        </w:rPr>
        <w:t>王沪宁在主持会议时表示，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各级党委（党组）要认真学习领会习近平总书记重要讲话精神，切实增强“四个意识”、坚定“四个自信”、做到“两个维护”，提高思想认识和政治站位，抓好本地区本部门本单位的学习教育工作。</w:t>
      </w:r>
    </w:p>
    <w:p>
      <w:pPr>
        <w:widowControl/>
        <w:spacing w:line="500" w:lineRule="exact"/>
        <w:ind w:firstLine="640" w:firstLineChars="200"/>
        <w:jc w:val="left"/>
        <w:rPr>
          <w:rFonts w:ascii="仿宋_GB2312" w:hAnsi="Helvetica" w:eastAsia="仿宋_GB2312" w:cs="Helvetica"/>
          <w:color w:val="000000"/>
          <w:kern w:val="0"/>
          <w:sz w:val="32"/>
          <w:szCs w:val="32"/>
        </w:rPr>
      </w:pPr>
      <w:r>
        <w:rPr>
          <w:rFonts w:ascii="仿宋_GB2312" w:hAnsi="Helvetica" w:eastAsia="仿宋_GB2312" w:cs="Helvetica"/>
          <w:color w:val="000000"/>
          <w:kern w:val="0"/>
          <w:sz w:val="32"/>
          <w:szCs w:val="32"/>
        </w:rPr>
        <w:t>中共中央政治局委员、中央书记处书记，全国人大常委会党员副委员长，国务委员，最高人民法院院长，最高人民检察院检察长，全国政协党员副主席，以及中央军委委员出席会议。</w:t>
      </w:r>
    </w:p>
    <w:p>
      <w:pPr>
        <w:widowControl/>
        <w:spacing w:line="500" w:lineRule="exact"/>
        <w:ind w:firstLine="640" w:firstLineChars="200"/>
        <w:jc w:val="left"/>
        <w:rPr>
          <w:rFonts w:ascii="仿宋_GB2312" w:hAnsi="Helvetica" w:eastAsia="仿宋_GB2312" w:cs="Helvetica"/>
          <w:color w:val="000000"/>
          <w:kern w:val="0"/>
          <w:sz w:val="32"/>
          <w:szCs w:val="32"/>
        </w:rPr>
      </w:pPr>
      <w:r>
        <w:rPr>
          <w:rFonts w:ascii="仿宋_GB2312" w:hAnsi="Helvetica" w:eastAsia="仿宋_GB2312" w:cs="Helvetica"/>
          <w:color w:val="000000"/>
          <w:kern w:val="0"/>
          <w:sz w:val="32"/>
          <w:szCs w:val="32"/>
        </w:rPr>
        <w:t>会议以电视电话会议形式召开，党史学习教育领导小组成员，各省区市和副省级城市、新疆生产建设兵团领导班子成员，中央和国家机关各部门、各人民团体，中管金融企业、中管企业、中管高校，军队有关单位主要负责同志，党史学习教育中央宣讲团成员等参加会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77911"/>
    <w:rsid w:val="7E277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2021-03-09T08:57:00Z</dcterms:created>
  <dc:creator>园园</dc:creator>
  <cp:lastModifiedBy>园园</cp:lastModifiedBy>
  <dcterms:modified xsi:type="dcterms:W3CDTF">2021-03-09T08:59:03Z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