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Lines="0" w:afterLines="0"/>
        <w:jc w:val="center"/>
        <w:rPr>
          <w:rFonts w:hint="eastAsia" w:ascii="黑体" w:hAnsi="黑体" w:eastAsia="黑体"/>
          <w:color w:val="000000"/>
          <w:sz w:val="40"/>
          <w:szCs w:val="21"/>
        </w:rPr>
      </w:pPr>
      <w:r>
        <w:rPr>
          <w:rFonts w:hint="eastAsia" w:ascii="黑体" w:hAnsi="黑体" w:eastAsia="黑体"/>
          <w:color w:val="000000"/>
          <w:sz w:val="40"/>
          <w:szCs w:val="21"/>
        </w:rPr>
        <w:t xml:space="preserve">中央经济工作会议在北京举行 </w:t>
      </w:r>
    </w:p>
    <w:p>
      <w:pPr>
        <w:widowControl/>
        <w:spacing w:beforeLines="0" w:afterLines="0"/>
        <w:jc w:val="center"/>
        <w:rPr>
          <w:rFonts w:hint="eastAsia" w:ascii="黑体" w:hAnsi="黑体" w:eastAsia="黑体"/>
          <w:color w:val="000000"/>
          <w:sz w:val="40"/>
          <w:szCs w:val="21"/>
        </w:rPr>
      </w:pPr>
      <w:r>
        <w:rPr>
          <w:rFonts w:hint="eastAsia" w:ascii="黑体" w:hAnsi="黑体" w:eastAsia="黑体"/>
          <w:color w:val="000000"/>
          <w:sz w:val="40"/>
          <w:szCs w:val="21"/>
        </w:rPr>
        <w:t>习近平李克强作重要讲话</w:t>
      </w:r>
    </w:p>
    <w:p>
      <w:pPr>
        <w:jc w:val="center"/>
        <w:rPr>
          <w:rFonts w:hint="eastAsia"/>
        </w:rPr>
      </w:pPr>
      <w:r>
        <w:rPr>
          <w:rFonts w:hint="eastAsia" w:ascii="FangSong_GB2312" w:hAnsi="FangSong_GB2312" w:eastAsia="FangSong_GB2312"/>
          <w:color w:val="000000"/>
          <w:sz w:val="32"/>
        </w:rPr>
        <w:t>202</w:t>
      </w:r>
      <w:r>
        <w:rPr>
          <w:rFonts w:hint="eastAsia" w:ascii="FangSong_GB2312" w:hAnsi="FangSong_GB2312" w:eastAsia="FangSong_GB2312"/>
          <w:color w:val="000000"/>
          <w:sz w:val="32"/>
          <w:lang w:val="en-US" w:eastAsia="zh-CN"/>
        </w:rPr>
        <w:t>0</w:t>
      </w:r>
      <w:r>
        <w:rPr>
          <w:rFonts w:hint="eastAsia" w:ascii="FangSong_GB2312" w:hAnsi="FangSong_GB2312" w:eastAsia="FangSong_GB2312"/>
          <w:color w:val="000000"/>
          <w:sz w:val="32"/>
        </w:rPr>
        <w:t>年1</w:t>
      </w:r>
      <w:r>
        <w:rPr>
          <w:rFonts w:hint="eastAsia" w:ascii="FangSong_GB2312" w:hAnsi="FangSong_GB2312" w:eastAsia="FangSong_GB2312"/>
          <w:color w:val="000000"/>
          <w:sz w:val="32"/>
          <w:lang w:val="en-US" w:eastAsia="zh-CN"/>
        </w:rPr>
        <w:t>2</w:t>
      </w:r>
      <w:r>
        <w:rPr>
          <w:rFonts w:hint="eastAsia" w:ascii="FangSong_GB2312" w:hAnsi="FangSong_GB2312" w:eastAsia="FangSong_GB2312"/>
          <w:color w:val="000000"/>
          <w:sz w:val="32"/>
        </w:rPr>
        <w:t>月1</w:t>
      </w:r>
      <w:r>
        <w:rPr>
          <w:rFonts w:hint="eastAsia" w:ascii="FangSong_GB2312" w:hAnsi="FangSong_GB2312" w:eastAsia="FangSong_GB2312"/>
          <w:color w:val="000000"/>
          <w:sz w:val="32"/>
          <w:lang w:val="en-US" w:eastAsia="zh-CN"/>
        </w:rPr>
        <w:t>8</w:t>
      </w:r>
      <w:r>
        <w:rPr>
          <w:rFonts w:hint="eastAsia" w:ascii="FangSong_GB2312" w:hAnsi="FangSong_GB2312" w:eastAsia="FangSong_GB2312"/>
          <w:color w:val="000000"/>
          <w:sz w:val="32"/>
        </w:rPr>
        <w:t>日 来源：新华网</w:t>
      </w:r>
    </w:p>
    <w:p>
      <w:pPr>
        <w:rPr>
          <w:rFonts w:hint="eastAsia"/>
        </w:rPr>
      </w:pPr>
    </w:p>
    <w:p>
      <w:pPr>
        <w:widowControl/>
        <w:spacing w:beforeLines="0" w:afterLines="0"/>
        <w:ind w:firstLine="640" w:firstLineChars="200"/>
        <w:jc w:val="left"/>
        <w:rPr>
          <w:rFonts w:hint="eastAsia" w:ascii="FangSong_GB2312" w:hAnsi="FangSong_GB2312" w:eastAsia="FangSong_GB2312"/>
          <w:color w:val="000000"/>
          <w:sz w:val="32"/>
          <w:szCs w:val="22"/>
        </w:rPr>
      </w:pPr>
      <w:r>
        <w:rPr>
          <w:rFonts w:hint="eastAsia" w:ascii="FangSong_GB2312" w:hAnsi="FangSong_GB2312" w:eastAsia="FangSong_GB2312"/>
          <w:color w:val="000000"/>
          <w:sz w:val="32"/>
          <w:szCs w:val="22"/>
        </w:rPr>
        <w:t>新华社北京12月18日电 中央经济工作会议12月16日至18日在北京举行。中共中央总书记、国家主席、中央军委主席习近平，中共中央政治局常委、国务院总理李克强，中共中央政治局常委栗战书、汪洋、王沪宁、赵乐际、韩正出席会议。</w:t>
      </w:r>
    </w:p>
    <w:p>
      <w:pPr>
        <w:widowControl/>
        <w:spacing w:beforeLines="0" w:afterLines="0"/>
        <w:ind w:firstLine="640" w:firstLineChars="200"/>
        <w:jc w:val="left"/>
        <w:rPr>
          <w:rFonts w:hint="eastAsia" w:ascii="FangSong_GB2312" w:hAnsi="FangSong_GB2312" w:eastAsia="FangSong_GB2312"/>
          <w:color w:val="000000"/>
          <w:sz w:val="32"/>
          <w:szCs w:val="22"/>
        </w:rPr>
      </w:pPr>
      <w:r>
        <w:rPr>
          <w:rFonts w:hint="eastAsia" w:ascii="FangSong_GB2312" w:hAnsi="FangSong_GB2312" w:eastAsia="FangSong_GB2312"/>
          <w:color w:val="000000"/>
          <w:sz w:val="32"/>
          <w:szCs w:val="22"/>
        </w:rPr>
        <w:t>习近平在会上发表重要讲话，总结2020年经济工作，分析当前经济形势，部署2021年经济工作。李克强在讲话中对明年经济工作作出具体部署，并作了总结讲话。</w:t>
      </w:r>
    </w:p>
    <w:p>
      <w:pPr>
        <w:widowControl/>
        <w:spacing w:beforeLines="0" w:afterLines="0"/>
        <w:ind w:firstLine="640" w:firstLineChars="200"/>
        <w:jc w:val="left"/>
        <w:rPr>
          <w:rFonts w:hint="eastAsia" w:ascii="FangSong_GB2312" w:hAnsi="FangSong_GB2312" w:eastAsia="FangSong_GB2312"/>
          <w:color w:val="000000"/>
          <w:sz w:val="32"/>
          <w:szCs w:val="22"/>
        </w:rPr>
      </w:pPr>
      <w:bookmarkStart w:id="0" w:name="_GoBack"/>
      <w:bookmarkEnd w:id="0"/>
      <w:r>
        <w:rPr>
          <w:rFonts w:hint="eastAsia" w:ascii="FangSong_GB2312" w:hAnsi="FangSong_GB2312" w:eastAsia="FangSong_GB2312"/>
          <w:color w:val="000000"/>
          <w:sz w:val="32"/>
          <w:szCs w:val="22"/>
        </w:rPr>
        <w:t>会议认为，今年是新中国历史上极不平凡的一年。面对严峻复杂的国际形势、艰巨繁重的国内改革发展稳定任务特别是新冠肺炎疫情的严重冲击，我们保持战略定力，准确判断形势，精心谋划部署，果断采取行动，付出艰苦努力，交出了一份人民满意、世界瞩目、可以载入史册的答卷。我国成为全球唯一实现经济正增长的主要经济体，三大攻坚战取得决定性成就，科技创新取得重大进展，改革开放实现重要突破，民生得到有力保障。这些成绩来之不易，历经艰难险阻，是以习近平同志为核心的党中央坚强领导的结果，是全党全军全国各族人民团结奋战的结果。</w:t>
      </w:r>
    </w:p>
    <w:p>
      <w:pPr>
        <w:widowControl/>
        <w:spacing w:beforeLines="0" w:afterLines="0"/>
        <w:ind w:firstLine="640" w:firstLineChars="200"/>
        <w:jc w:val="left"/>
        <w:rPr>
          <w:rFonts w:hint="eastAsia" w:ascii="FangSong_GB2312" w:hAnsi="FangSong_GB2312" w:eastAsia="FangSong_GB2312"/>
          <w:color w:val="000000"/>
          <w:sz w:val="32"/>
          <w:szCs w:val="22"/>
        </w:rPr>
      </w:pPr>
      <w:r>
        <w:rPr>
          <w:rFonts w:hint="eastAsia" w:ascii="FangSong_GB2312" w:hAnsi="FangSong_GB2312" w:eastAsia="FangSong_GB2312"/>
          <w:color w:val="000000"/>
          <w:sz w:val="32"/>
          <w:szCs w:val="22"/>
        </w:rPr>
        <w:t>会议指出，今年是“十三五”规划收官之年。经过5年持续奋斗，我国经济社会发展取得新的历史性成就，“十三五”规划主要目标任务即将完成。我国经济实力、科技实力、综合国力和人民生活水平又跃上新的大台阶，全面建成小康社会胜利在望，中华民族伟大复兴向前迈出了新的一大步。</w:t>
      </w:r>
    </w:p>
    <w:p>
      <w:pPr>
        <w:widowControl/>
        <w:spacing w:beforeLines="0" w:afterLines="0"/>
        <w:ind w:firstLine="640" w:firstLineChars="200"/>
        <w:jc w:val="left"/>
        <w:rPr>
          <w:rFonts w:hint="eastAsia" w:ascii="FangSong_GB2312" w:hAnsi="FangSong_GB2312" w:eastAsia="FangSong_GB2312"/>
          <w:color w:val="000000"/>
          <w:sz w:val="32"/>
          <w:szCs w:val="22"/>
        </w:rPr>
      </w:pPr>
      <w:r>
        <w:rPr>
          <w:rFonts w:hint="eastAsia" w:ascii="FangSong_GB2312" w:hAnsi="FangSong_GB2312" w:eastAsia="FangSong_GB2312"/>
          <w:color w:val="000000"/>
          <w:sz w:val="32"/>
          <w:szCs w:val="22"/>
        </w:rPr>
        <w:t>会议强调，在统筹国内国际两个大局、统筹疫情防控和经济社会发展的实践中，我们深化了对在严峻挑战下做好经济工作的规律性认识：党中央权威是危难时刻全党全国各族人民迎难而上的根本依靠，在重大历史关头，重大考验面前，党中央的判断力、决策力、行动力具有决定性作用；人民至上是作出正确抉择的根本前提，只要心里始终装着人民，始终把人民利益放在最高位置，就一定能够作出正确决策，确定最优路径，并依靠人民战胜一切艰难险阻；制度优势是形成共克时艰磅礴力量的根本保障，只要坚定“四个自信”，坚持集中力量办大事的制度优势，就一定能够使全党全国各族人民紧密团结起来，发挥出攻坚克难、推动事业发展的强大能量；科学决策和创造性应对是化危为机的根本方法，只要准确识变、科学应变、主动求变，就一定能够在抗击大风险中创造出大机遇；科技自立自强是促进发展大局的根本支撑，只要秉持科学精神、把握科学规律、大力推动自主创新，就一定能够把国家发展建立在更加安全、更为可靠的基础之上。</w:t>
      </w:r>
    </w:p>
    <w:p>
      <w:pPr>
        <w:widowControl/>
        <w:spacing w:beforeLines="0" w:afterLines="0"/>
        <w:ind w:firstLine="640" w:firstLineChars="200"/>
        <w:jc w:val="left"/>
        <w:rPr>
          <w:rFonts w:hint="eastAsia" w:ascii="FangSong_GB2312" w:hAnsi="FangSong_GB2312" w:eastAsia="FangSong_GB2312"/>
          <w:color w:val="000000"/>
          <w:sz w:val="32"/>
          <w:szCs w:val="22"/>
        </w:rPr>
      </w:pPr>
      <w:r>
        <w:rPr>
          <w:rFonts w:hint="eastAsia" w:ascii="FangSong_GB2312" w:hAnsi="FangSong_GB2312" w:eastAsia="FangSong_GB2312"/>
          <w:color w:val="000000"/>
          <w:sz w:val="32"/>
          <w:szCs w:val="22"/>
        </w:rPr>
        <w:t>会议指出，在肯定成绩的同时，必须清醒看到，疫情变化和外部环境存在诸多不确定性，我国经济恢复基础尚不牢固。明年世界经济形势仍然复杂严峻，复苏不稳定不平衡，疫情冲击导致的各类衍生风险不容忽视。要增强忧患意识，坚定必胜信心，推动经济持续恢复和高质量发展。要办好自己的事，坚持底线思维，提高风险预见预判能力，严密防范各种风险挑战。要继续高举多边主义旗帜，积极参与全球治理改革完善，推动构建人类命运共同体。</w:t>
      </w:r>
    </w:p>
    <w:p>
      <w:pPr>
        <w:widowControl/>
        <w:spacing w:beforeLines="0" w:afterLines="0"/>
        <w:ind w:firstLine="640" w:firstLineChars="200"/>
        <w:jc w:val="left"/>
        <w:rPr>
          <w:rFonts w:hint="eastAsia" w:ascii="FangSong_GB2312" w:hAnsi="FangSong_GB2312" w:eastAsia="FangSong_GB2312"/>
          <w:color w:val="000000"/>
          <w:sz w:val="32"/>
          <w:szCs w:val="22"/>
        </w:rPr>
      </w:pPr>
      <w:r>
        <w:rPr>
          <w:rFonts w:hint="eastAsia" w:ascii="FangSong_GB2312" w:hAnsi="FangSong_GB2312" w:eastAsia="FangSong_GB2312"/>
          <w:color w:val="000000"/>
          <w:sz w:val="32"/>
          <w:szCs w:val="22"/>
        </w:rPr>
        <w:t>会议强调，明年是我国现代化建设进程中具有特殊重要性的一年。做好明年经济工作，要以习近平新时代中国特色社会主义思想为指导，全面贯彻党的十九大和十九届二中、三中、四中、五中全会精神，坚持稳中求进工作总基调，立足新发展阶段，贯彻新发展理念，构建新发展格局，以推动高质量发展为主题，以深化供给侧结构性改革为主线，以改革创新为根本动力，以满足人民日益增长的美好生活需要为根本目的，坚持系统观念，巩固拓展疫情防控和经济社会发展成果，更好统筹发展和安全，扎实做好“六稳”工作、全面落实“六保”任务，科学精准实施宏观政策，努力保持经济运行在合理区间，坚持扩大内需战略，强化科技战略支撑，扩大高水平对外开放，确保“十四五”开好局，以优异成绩庆祝建党100周年。</w:t>
      </w:r>
    </w:p>
    <w:p>
      <w:pPr>
        <w:widowControl/>
        <w:spacing w:beforeLines="0" w:afterLines="0"/>
        <w:ind w:firstLine="640" w:firstLineChars="200"/>
        <w:jc w:val="left"/>
        <w:rPr>
          <w:rFonts w:hint="eastAsia" w:ascii="FangSong_GB2312" w:hAnsi="FangSong_GB2312" w:eastAsia="FangSong_GB2312"/>
          <w:color w:val="000000"/>
          <w:sz w:val="32"/>
          <w:szCs w:val="22"/>
        </w:rPr>
      </w:pPr>
      <w:r>
        <w:rPr>
          <w:rFonts w:hint="eastAsia" w:ascii="FangSong_GB2312" w:hAnsi="FangSong_GB2312" w:eastAsia="FangSong_GB2312"/>
          <w:color w:val="000000"/>
          <w:sz w:val="32"/>
          <w:szCs w:val="22"/>
        </w:rPr>
        <w:t>会议指出，明年宏观政策要保持连续性、稳定性、可持续性。要继续实施积极的财政政策和稳健的货币政策，保持对经济恢复的必要支持力度，政策操作上要更加精准有效，不急转弯，把握好政策时度效。要用好宝贵时间窗口，集中精力推进改革创新，以高质量发展为“十四五”开好局。积极的财政政策要提质增效、更可持续，保持适度支出强度，增强国家重大战略任务财力保障，在促进科技创新、加快经济结构调整、调节收入分配上主动作为，抓实化解地方政府隐性债务风险工作，党政机关要坚持过紧日子。稳健的货币政策要灵活精准、合理适度，保持货币供应量和社会融资规模增速同名义经济增速基本匹配，保持宏观杠杆率基本稳定，处理好恢复经济和防范风险关系，多渠道补充银行资本金，完善债券市场法制，加大对科技创新、小微企业、绿色发展的金融支持，深化利率汇率市场化改革，保持人民币汇率在合理均衡水平上的基本稳定。</w:t>
      </w:r>
    </w:p>
    <w:p>
      <w:pPr>
        <w:widowControl/>
        <w:spacing w:beforeLines="0" w:afterLines="0"/>
        <w:ind w:firstLine="640" w:firstLineChars="200"/>
        <w:jc w:val="left"/>
        <w:rPr>
          <w:rFonts w:hint="eastAsia" w:ascii="FangSong_GB2312" w:hAnsi="FangSong_GB2312" w:eastAsia="FangSong_GB2312"/>
          <w:color w:val="000000"/>
          <w:sz w:val="32"/>
          <w:szCs w:val="22"/>
        </w:rPr>
      </w:pPr>
      <w:r>
        <w:rPr>
          <w:rFonts w:hint="eastAsia" w:ascii="FangSong_GB2312" w:hAnsi="FangSong_GB2312" w:eastAsia="FangSong_GB2312"/>
          <w:color w:val="000000"/>
          <w:sz w:val="32"/>
          <w:szCs w:val="22"/>
        </w:rPr>
        <w:t>会议要求，构建新发展格局明年要迈好第一步，见到新气象。加快构建以国内大循环为主体、国内国际双循环相互促进的新发展格局，要紧紧扭住供给侧结构性改革这条主线，注重需求侧管理，打通堵点，补齐短板，贯通生产、分配、流通、消费各环节，形成需求牵引供给、供给创造需求的更高水平动态平衡，提升国民经济体系整体效能。要更加注重以深化改革开放增强发展内生动力，在一些关键点上发力见效，起到牵一发而动全身的效果。</w:t>
      </w:r>
    </w:p>
    <w:p>
      <w:pPr>
        <w:widowControl/>
        <w:spacing w:beforeLines="0" w:afterLines="0"/>
        <w:ind w:firstLine="640" w:firstLineChars="200"/>
        <w:jc w:val="left"/>
        <w:rPr>
          <w:rFonts w:hint="eastAsia" w:ascii="FangSong_GB2312" w:hAnsi="FangSong_GB2312" w:eastAsia="FangSong_GB2312"/>
          <w:color w:val="000000"/>
          <w:sz w:val="32"/>
          <w:szCs w:val="22"/>
        </w:rPr>
      </w:pPr>
      <w:r>
        <w:rPr>
          <w:rFonts w:hint="eastAsia" w:ascii="FangSong_GB2312" w:hAnsi="FangSong_GB2312" w:eastAsia="FangSong_GB2312"/>
          <w:color w:val="000000"/>
          <w:sz w:val="32"/>
          <w:szCs w:val="22"/>
        </w:rPr>
        <w:t>会议确定，明年要抓好以下重点任务。</w:t>
      </w:r>
    </w:p>
    <w:p>
      <w:pPr>
        <w:widowControl/>
        <w:spacing w:beforeLines="0" w:afterLines="0"/>
        <w:ind w:firstLine="640" w:firstLineChars="200"/>
        <w:jc w:val="left"/>
        <w:rPr>
          <w:rFonts w:hint="eastAsia" w:ascii="FangSong_GB2312" w:hAnsi="FangSong_GB2312" w:eastAsia="FangSong_GB2312"/>
          <w:color w:val="000000"/>
          <w:sz w:val="32"/>
          <w:szCs w:val="22"/>
        </w:rPr>
      </w:pPr>
      <w:r>
        <w:rPr>
          <w:rFonts w:hint="eastAsia" w:ascii="FangSong_GB2312" w:hAnsi="FangSong_GB2312" w:eastAsia="FangSong_GB2312"/>
          <w:color w:val="000000"/>
          <w:sz w:val="32"/>
          <w:szCs w:val="22"/>
        </w:rPr>
        <w:t>一是强化国家战略科技力量。要充分发挥国家作为重大科技创新组织者的作用，坚持战略性需求导向，确定科技创新方向和重点，着力解决制约国家发展和安全的重大难题。要发挥新型举国体制优势，发挥好重要院所高校国家队作用，推动科研力量优化配置和资源共享。要抓紧制定实施基础研究十年行动方案，重点布局一批基础学科研究中心，支持有条件的地方建设国际和区域科技创新中心。要发挥企业在科技创新中的主体作用，支持领军企业组建创新联合体，带动中小企业创新活动。要加强国际科技交流合作。要加快国内人才培养，使更多青年优秀人才脱颖而出。要完善激励机制和科技评价机制，落实好攻关任务“揭榜挂帅”等机制。要规范科技伦理，树立良好学风和作风，引导科研人员专心致志、扎实进取。</w:t>
      </w:r>
    </w:p>
    <w:p>
      <w:pPr>
        <w:widowControl/>
        <w:spacing w:beforeLines="0" w:afterLines="0"/>
        <w:ind w:firstLine="640" w:firstLineChars="200"/>
        <w:jc w:val="left"/>
        <w:rPr>
          <w:rFonts w:hint="eastAsia" w:ascii="FangSong_GB2312" w:hAnsi="FangSong_GB2312" w:eastAsia="FangSong_GB2312"/>
          <w:color w:val="000000"/>
          <w:sz w:val="32"/>
          <w:szCs w:val="22"/>
        </w:rPr>
      </w:pPr>
      <w:r>
        <w:rPr>
          <w:rFonts w:hint="eastAsia" w:ascii="FangSong_GB2312" w:hAnsi="FangSong_GB2312" w:eastAsia="FangSong_GB2312"/>
          <w:color w:val="000000"/>
          <w:sz w:val="32"/>
          <w:szCs w:val="22"/>
        </w:rPr>
        <w:t>二是增强产业链供应链自主可控能力。产业链供应链安全稳定是构建新发展格局的基础。要统筹推进补齐短板和锻造长板，针对产业薄弱环节，实施好关键核心技术攻关工程，尽快解决一批“卡脖子”问题，在产业优势领域精耕细作，搞出更多独门绝技。要实施好产业基础再造工程，打牢基础零部件、基础工艺、关键基础材料等基础。要加强顶层设计、应用牵引、整机带动，强化共性技术供给，深入实施质量提升行动。</w:t>
      </w:r>
    </w:p>
    <w:p>
      <w:pPr>
        <w:widowControl/>
        <w:spacing w:beforeLines="0" w:afterLines="0"/>
        <w:ind w:firstLine="640" w:firstLineChars="200"/>
        <w:jc w:val="left"/>
        <w:rPr>
          <w:rFonts w:hint="eastAsia" w:ascii="FangSong_GB2312" w:hAnsi="FangSong_GB2312" w:eastAsia="FangSong_GB2312"/>
          <w:color w:val="000000"/>
          <w:sz w:val="32"/>
          <w:szCs w:val="22"/>
        </w:rPr>
      </w:pPr>
      <w:r>
        <w:rPr>
          <w:rFonts w:hint="eastAsia" w:ascii="FangSong_GB2312" w:hAnsi="FangSong_GB2312" w:eastAsia="FangSong_GB2312"/>
          <w:color w:val="000000"/>
          <w:sz w:val="32"/>
          <w:szCs w:val="22"/>
        </w:rPr>
        <w:t>三是坚持扩大内需这个战略基点。形成强大国内市场是构建新发展格局的重要支撑，必须在合理引导消费、储蓄、投资等方面进行有效制度安排。扩大消费最根本的是促进就业，完善社保，优化收入分配结构，扩大中等收入群体，扎实推进共同富裕。要把扩大消费同改善人民生活品质结合起来。有序取消一些行政性限制消费购买的规定，充分挖掘县乡消费潜力。要完善职业技术教育体系，实现更加充分更高质量就业。要合理增加公共消费，提高教育、医疗、养老、育幼等公共服务支出效率。要增强投资增长后劲，继续发挥关键作用。要发挥中央预算内投资在外溢性强、社会效益高领域的引导和撬动作用。激发全社会投资活力。要大力发展数字经济，加大新型基础设施投资力度。要扩大制造业设备更新和技术改造投资。要实施城市更新行动，推进城镇老旧小区改造，建设现代物流体系。要加强统一规划和宏观指导，统筹好产业布局，避免新兴产业重复建设。</w:t>
      </w:r>
    </w:p>
    <w:p>
      <w:pPr>
        <w:widowControl/>
        <w:spacing w:beforeLines="0" w:afterLines="0"/>
        <w:ind w:firstLine="640" w:firstLineChars="200"/>
        <w:jc w:val="left"/>
        <w:rPr>
          <w:rFonts w:hint="eastAsia" w:ascii="FangSong_GB2312" w:hAnsi="FangSong_GB2312" w:eastAsia="FangSong_GB2312"/>
          <w:color w:val="000000"/>
          <w:sz w:val="32"/>
          <w:szCs w:val="22"/>
        </w:rPr>
      </w:pPr>
      <w:r>
        <w:rPr>
          <w:rFonts w:hint="eastAsia" w:ascii="FangSong_GB2312" w:hAnsi="FangSong_GB2312" w:eastAsia="FangSong_GB2312"/>
          <w:color w:val="000000"/>
          <w:sz w:val="32"/>
          <w:szCs w:val="22"/>
        </w:rPr>
        <w:t>四是全面推进改革开放。构建新发展格局，必须构建高水平社会主义市场经济体制，实行高水平对外开放，推动改革和开放相互促进。要完善宏观经济治理，加强国际宏观政策协调。要深入实施国企改革三年行动，优化民营经济发展环境，健全现代企业制度，完善公司治理，激发各类市场主体活力。要放宽市场准入，促进公平竞争，保护知识产权，建设统一大市场，营造市场化、法治化、国际化营商环境。要健全金融机构治理，促进资本市场健康发展，提高上市公司质量，打击各种逃废债行为。要规范发展第三支柱养老保险。要积极考虑加入全面与进步跨太平洋伙伴关系协定。要大力提升国内监管能力和水平，完善安全审查机制，重视运用国际通行规则维护国家安全。</w:t>
      </w:r>
    </w:p>
    <w:p>
      <w:pPr>
        <w:widowControl/>
        <w:spacing w:beforeLines="0" w:afterLines="0"/>
        <w:ind w:firstLine="640" w:firstLineChars="200"/>
        <w:jc w:val="left"/>
        <w:rPr>
          <w:rFonts w:hint="eastAsia" w:ascii="FangSong_GB2312" w:hAnsi="FangSong_GB2312" w:eastAsia="FangSong_GB2312"/>
          <w:color w:val="000000"/>
          <w:sz w:val="32"/>
          <w:szCs w:val="22"/>
        </w:rPr>
      </w:pPr>
      <w:r>
        <w:rPr>
          <w:rFonts w:hint="eastAsia" w:ascii="FangSong_GB2312" w:hAnsi="FangSong_GB2312" w:eastAsia="FangSong_GB2312"/>
          <w:color w:val="000000"/>
          <w:sz w:val="32"/>
          <w:szCs w:val="22"/>
        </w:rPr>
        <w:t>五是解决好种子和耕地问题。保障粮食安全，关键在于落实藏粮于地、藏粮于技战略。要加强种质资源保护和利用，加强种子库建设。要尊重科学、严格监管，有序推进生物育种产业化应用。要开展种源“卡脖子”技术攻关，立志打一场种业翻身仗。要牢牢守住18亿亩耕地红线，坚决遏制耕地“非农化”、防止“非粮化”，规范耕地占补平衡。要建设国家粮食安全产业带，加强高标准农田建设，加强农田水利建设，实施国家黑土地保护工程。要提高粮食和重要农副产品供给保障能力。要加强农业面源污染治理。</w:t>
      </w:r>
    </w:p>
    <w:p>
      <w:pPr>
        <w:widowControl/>
        <w:spacing w:beforeLines="0" w:afterLines="0"/>
        <w:ind w:firstLine="640" w:firstLineChars="200"/>
        <w:jc w:val="left"/>
        <w:rPr>
          <w:rFonts w:hint="eastAsia" w:ascii="FangSong_GB2312" w:hAnsi="FangSong_GB2312" w:eastAsia="FangSong_GB2312"/>
          <w:color w:val="000000"/>
          <w:sz w:val="32"/>
          <w:szCs w:val="22"/>
        </w:rPr>
      </w:pPr>
      <w:r>
        <w:rPr>
          <w:rFonts w:hint="eastAsia" w:ascii="FangSong_GB2312" w:hAnsi="FangSong_GB2312" w:eastAsia="FangSong_GB2312"/>
          <w:color w:val="000000"/>
          <w:sz w:val="32"/>
          <w:szCs w:val="22"/>
        </w:rPr>
        <w:t>六是强化反垄断和防止资本无序扩张。反垄断、反不正当竞争，是完善社会主义市场经济体制、推动高质量发展的内在要求。国家支持平台企业创新发展、增强国际竞争力，支持公有制经济和非公有制经济共同发展，同时要依法规范发展，健全数字规则。要完善平台企业垄断认定、数据收集使用管理、消费者权益保护等方面的法律规范。要加强规制，提升监管能力，坚决反对垄断和不正当竞争行为。金融创新必须在审慎监管的前提下进行。</w:t>
      </w:r>
    </w:p>
    <w:p>
      <w:pPr>
        <w:widowControl/>
        <w:spacing w:beforeLines="0" w:afterLines="0"/>
        <w:ind w:firstLine="640" w:firstLineChars="200"/>
        <w:jc w:val="left"/>
        <w:rPr>
          <w:rFonts w:hint="eastAsia" w:ascii="FangSong_GB2312" w:hAnsi="FangSong_GB2312" w:eastAsia="FangSong_GB2312"/>
          <w:color w:val="000000"/>
          <w:sz w:val="32"/>
          <w:szCs w:val="22"/>
        </w:rPr>
      </w:pPr>
      <w:r>
        <w:rPr>
          <w:rFonts w:hint="eastAsia" w:ascii="FangSong_GB2312" w:hAnsi="FangSong_GB2312" w:eastAsia="FangSong_GB2312"/>
          <w:color w:val="000000"/>
          <w:sz w:val="32"/>
          <w:szCs w:val="22"/>
        </w:rPr>
        <w:t>七是解决好大城市住房突出问题。住房问题关系民生福祉。要坚持房子是用来住的、不是用来炒的定位，因地制宜、多策并举，促进房地产市场平稳健康发展。要高度重视保障性租赁住房建设，加快完善长租房政策，逐步使租购住房在享受公共服务上具有同等权利，规范发展长租房市场。土地供应要向租赁住房建设倾斜，单列租赁住房用地计划，探索利用集体建设用地和企事业单位自有闲置土地建设租赁住房，国有和民营企业都要发挥功能作用。要降低租赁住房税费负担，整顿租赁市场秩序，规范市场行为，对租金水平进行合理调控。</w:t>
      </w:r>
    </w:p>
    <w:p>
      <w:pPr>
        <w:widowControl/>
        <w:spacing w:beforeLines="0" w:afterLines="0"/>
        <w:ind w:firstLine="640" w:firstLineChars="200"/>
        <w:jc w:val="left"/>
        <w:rPr>
          <w:rFonts w:hint="eastAsia" w:ascii="FangSong_GB2312" w:hAnsi="FangSong_GB2312" w:eastAsia="FangSong_GB2312"/>
          <w:color w:val="000000"/>
          <w:sz w:val="32"/>
          <w:szCs w:val="22"/>
        </w:rPr>
      </w:pPr>
      <w:r>
        <w:rPr>
          <w:rFonts w:hint="eastAsia" w:ascii="FangSong_GB2312" w:hAnsi="FangSong_GB2312" w:eastAsia="FangSong_GB2312"/>
          <w:color w:val="000000"/>
          <w:sz w:val="32"/>
          <w:szCs w:val="22"/>
        </w:rPr>
        <w:t>八是做好碳达峰、碳中和工作。我国二氧化碳排放力争2030年前达到峰值，力争2060年前实现碳中和。要抓紧制定2030年前碳排放达峰行动方案，支持有条件的地方率先达峰。要加快调整优化产业结构、能源结构，推动煤炭消费尽早达峰，大力发展新能源，加快建设全国用能权、碳排放权交易市场，完善能源消费双控制度。要继续打好污染防治攻坚战，实现减污降碳协同效应。要开展大规模国土绿化行动，提升生态系统碳汇能力。</w:t>
      </w:r>
    </w:p>
    <w:p>
      <w:pPr>
        <w:widowControl/>
        <w:spacing w:beforeLines="0" w:afterLines="0"/>
        <w:ind w:firstLine="640" w:firstLineChars="200"/>
        <w:jc w:val="left"/>
        <w:rPr>
          <w:rFonts w:hint="eastAsia" w:ascii="FangSong_GB2312" w:hAnsi="FangSong_GB2312" w:eastAsia="FangSong_GB2312"/>
          <w:color w:val="000000"/>
          <w:sz w:val="32"/>
          <w:szCs w:val="22"/>
        </w:rPr>
      </w:pPr>
      <w:r>
        <w:rPr>
          <w:rFonts w:hint="eastAsia" w:ascii="FangSong_GB2312" w:hAnsi="FangSong_GB2312" w:eastAsia="FangSong_GB2312"/>
          <w:color w:val="000000"/>
          <w:sz w:val="32"/>
          <w:szCs w:val="22"/>
        </w:rPr>
        <w:t>会议指出，经过几代人一以贯之、接续奋斗，我国即将全面建成小康社会。这是新生活新奋斗的起点，要继续艰苦奋斗。要巩固拓展脱贫攻坚成果，坚决防止发生规模性返贫现象。要做好同乡村振兴的有效衔接，帮扶政策保持总体稳定，分类调整优化，留足政策过渡期。</w:t>
      </w:r>
    </w:p>
    <w:p>
      <w:pPr>
        <w:widowControl/>
        <w:spacing w:beforeLines="0" w:afterLines="0"/>
        <w:ind w:firstLine="640" w:firstLineChars="200"/>
        <w:jc w:val="left"/>
        <w:rPr>
          <w:rFonts w:hint="eastAsia" w:ascii="FangSong_GB2312" w:hAnsi="FangSong_GB2312" w:eastAsia="FangSong_GB2312"/>
          <w:color w:val="000000"/>
          <w:sz w:val="32"/>
          <w:szCs w:val="22"/>
        </w:rPr>
      </w:pPr>
      <w:r>
        <w:rPr>
          <w:rFonts w:hint="eastAsia" w:ascii="FangSong_GB2312" w:hAnsi="FangSong_GB2312" w:eastAsia="FangSong_GB2312"/>
          <w:color w:val="000000"/>
          <w:sz w:val="32"/>
          <w:szCs w:val="22"/>
        </w:rPr>
        <w:t>会议强调，要促进经济运行保持在合理区间，继续做好“六稳”“六保”工作，合理把握宏观调控节奏和力度，精准有效实施宏观政策。要持续激发市场主体活力，完善减税降费政策，强化普惠金融服务，更大力度推进改革创新，让市场主体特别是中小微企业和个体工商户增加活力。要依靠创新提升实体经济发展水平，促进制造业高质量发展。要充分挖掘国内市场潜力，以改善民生为导向扩大消费和有效投资，完善支持社会资本参与的机制和政策，更加注重民生基础设施补短板，推动新型城镇化和区域协调发展。要全面推进乡村振兴，抓好农业生产，推进农村改革和乡村建设。要深化重点领域和关键环节改革，推进“放管服”改革，不断优化营商环境。要加强污染防治，不断改善生态环境质量。要做好基本民生保障工作，促进重点群体多渠道就业，持续改善人民生活。</w:t>
      </w:r>
    </w:p>
    <w:p>
      <w:pPr>
        <w:widowControl/>
        <w:spacing w:beforeLines="0" w:afterLines="0"/>
        <w:ind w:firstLine="640" w:firstLineChars="200"/>
        <w:jc w:val="left"/>
        <w:rPr>
          <w:rFonts w:hint="eastAsia" w:ascii="FangSong_GB2312" w:hAnsi="FangSong_GB2312" w:eastAsia="FangSong_GB2312"/>
          <w:color w:val="000000"/>
          <w:sz w:val="32"/>
          <w:szCs w:val="22"/>
        </w:rPr>
      </w:pPr>
      <w:r>
        <w:rPr>
          <w:rFonts w:hint="eastAsia" w:ascii="FangSong_GB2312" w:hAnsi="FangSong_GB2312" w:eastAsia="FangSong_GB2312"/>
          <w:color w:val="000000"/>
          <w:sz w:val="32"/>
          <w:szCs w:val="22"/>
        </w:rPr>
        <w:t>会议指出，适应新发展阶段、贯彻新发展理念、构建新发展格局，必须加强党的全面领导，善于用政治眼光观察和分析经济社会问题，真抓实干把党中央决策部署贯彻到经济工作各方面。督查、督导等工作要规范进行，讲求实效。各级领导干部要提高专业化能力，努力成为领导构建新发展格局的行家里手。要增强补课充电的紧迫感，自觉赶上时代潮流。要抓好发展和安全两件大事，有效防范化解各类经济社会风险，高度重视安全生产和防灾减灾工作，坚决防范重特大事故发生。要继续深化社会治理，严厉打击各类违法犯罪活动。疫情防控要毫不放松抓好“外防输入、内防反弹”工作，严防死守，确保不出现规模性输入和反弹。要安排好“两节”市场供应，确保基本民生，做好困难群体兜底工作。</w:t>
      </w:r>
    </w:p>
    <w:p>
      <w:pPr>
        <w:widowControl/>
        <w:spacing w:beforeLines="0" w:afterLines="0"/>
        <w:ind w:firstLine="640" w:firstLineChars="200"/>
        <w:jc w:val="left"/>
        <w:rPr>
          <w:rFonts w:hint="eastAsia" w:ascii="FangSong_GB2312" w:hAnsi="FangSong_GB2312" w:eastAsia="FangSong_GB2312"/>
          <w:color w:val="000000"/>
          <w:sz w:val="32"/>
          <w:szCs w:val="22"/>
        </w:rPr>
      </w:pPr>
      <w:r>
        <w:rPr>
          <w:rFonts w:hint="eastAsia" w:ascii="FangSong_GB2312" w:hAnsi="FangSong_GB2312" w:eastAsia="FangSong_GB2312"/>
          <w:color w:val="000000"/>
          <w:sz w:val="32"/>
          <w:szCs w:val="22"/>
        </w:rPr>
        <w:t>会议号召，全党同志要紧密团结在以习近平同志为核心的党中央周围，齐心协力、开拓进取，以优异成绩迎接建党100周年，为全面建设社会主义现代化国家、实现中华民族伟大复兴的中国梦不懈奋斗。</w:t>
      </w:r>
    </w:p>
    <w:p>
      <w:pPr>
        <w:widowControl/>
        <w:spacing w:beforeLines="0" w:afterLines="0"/>
        <w:ind w:firstLine="640" w:firstLineChars="200"/>
        <w:jc w:val="left"/>
        <w:rPr>
          <w:rFonts w:hint="eastAsia" w:ascii="FangSong_GB2312" w:hAnsi="FangSong_GB2312" w:eastAsia="FangSong_GB2312"/>
          <w:color w:val="000000"/>
          <w:sz w:val="32"/>
          <w:szCs w:val="22"/>
        </w:rPr>
      </w:pPr>
      <w:r>
        <w:rPr>
          <w:rFonts w:hint="eastAsia" w:ascii="FangSong_GB2312" w:hAnsi="FangSong_GB2312" w:eastAsia="FangSong_GB2312"/>
          <w:color w:val="000000"/>
          <w:sz w:val="32"/>
          <w:szCs w:val="22"/>
        </w:rPr>
        <w:t>中共中央政治局委员、中央书记处书记，全国人大常委会有关领导同志，国务委员，最高人民法院院长，最高人民检察院检察长，全国政协有关领导同志以及中央军委委员等出席会议。</w:t>
      </w:r>
    </w:p>
    <w:p>
      <w:pPr>
        <w:widowControl/>
        <w:spacing w:beforeLines="0" w:afterLines="0"/>
        <w:ind w:firstLine="640" w:firstLineChars="200"/>
        <w:jc w:val="left"/>
        <w:rPr>
          <w:rFonts w:hint="eastAsia" w:ascii="FangSong_GB2312" w:hAnsi="FangSong_GB2312" w:eastAsia="FangSong_GB2312"/>
          <w:color w:val="000000"/>
          <w:sz w:val="32"/>
          <w:szCs w:val="22"/>
        </w:rPr>
      </w:pPr>
      <w:r>
        <w:rPr>
          <w:rFonts w:hint="eastAsia" w:ascii="FangSong_GB2312" w:hAnsi="FangSong_GB2312" w:eastAsia="FangSong_GB2312"/>
          <w:color w:val="000000"/>
          <w:sz w:val="32"/>
          <w:szCs w:val="22"/>
        </w:rPr>
        <w:t>各省、自治区、直辖市和计划单列市、新疆生产建设兵团党政主要负责同志，中央和国家机关有关部门、有关人民团体、中央管理的部分金融机构和企业、中央军委机关各部门主要负责同志等参加会议。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_GB2312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5B53F8"/>
    <w:rsid w:val="1BA807A5"/>
    <w:rsid w:val="3A5B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2021-01-12T02:58:00Z</dcterms:created>
  <dc:creator>园园</dc:creator>
  <cp:lastModifiedBy>园园</cp:lastModifiedBy>
  <dcterms:modified xsi:type="dcterms:W3CDTF">2021-01-12T03:01:26Z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